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269A4424"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9F3773">
        <w:rPr>
          <w:sz w:val="52"/>
          <w:szCs w:val="52"/>
        </w:rPr>
        <w:t>6</w:t>
      </w:r>
      <w:r>
        <w:rPr>
          <w:sz w:val="52"/>
          <w:szCs w:val="52"/>
        </w:rPr>
        <w:t>-202</w:t>
      </w:r>
      <w:r w:rsidR="009F3773">
        <w:rPr>
          <w:sz w:val="52"/>
          <w:szCs w:val="52"/>
        </w:rPr>
        <w:t>8</w:t>
      </w:r>
      <w:r>
        <w:rPr>
          <w:sz w:val="52"/>
          <w:szCs w:val="52"/>
        </w:rPr>
        <w:t xml:space="preserve"> </w:t>
      </w:r>
    </w:p>
    <w:p w14:paraId="5849CAA6" w14:textId="0626C7FC" w:rsidR="0050356C" w:rsidRDefault="0050356C" w:rsidP="0050356C">
      <w:pPr>
        <w:pStyle w:val="TitoloDocumento"/>
        <w:ind w:right="566"/>
        <w:rPr>
          <w:sz w:val="52"/>
          <w:szCs w:val="52"/>
        </w:rPr>
      </w:pPr>
      <w:r>
        <w:rPr>
          <w:sz w:val="52"/>
          <w:szCs w:val="52"/>
        </w:rPr>
        <w:t xml:space="preserve">CHECK </w:t>
      </w:r>
      <w:proofErr w:type="gramStart"/>
      <w:r>
        <w:rPr>
          <w:sz w:val="52"/>
          <w:szCs w:val="52"/>
        </w:rPr>
        <w:t>LIST  -</w:t>
      </w:r>
      <w:proofErr w:type="gramEnd"/>
      <w:r>
        <w:rPr>
          <w:sz w:val="52"/>
          <w:szCs w:val="52"/>
        </w:rPr>
        <w:t xml:space="preserve">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0EF930F0" w:rsidR="00832D7E" w:rsidRPr="004E0A05" w:rsidRDefault="00677368" w:rsidP="00832D7E">
                            <w:pPr>
                              <w:pStyle w:val="TipoDocumento"/>
                              <w:jc w:val="right"/>
                              <w:rPr>
                                <w:color w:val="auto"/>
                              </w:rPr>
                            </w:pPr>
                            <w:r>
                              <w:t>20 gennaio 2026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0EF930F0" w:rsidR="00832D7E" w:rsidRPr="004E0A05" w:rsidRDefault="00677368" w:rsidP="00832D7E">
                      <w:pPr>
                        <w:pStyle w:val="TipoDocumento"/>
                        <w:jc w:val="right"/>
                        <w:rPr>
                          <w:color w:val="auto"/>
                        </w:rPr>
                      </w:pPr>
                      <w:r>
                        <w:t>20 gennaio 2026</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16110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453"/>
      </w:tblGrid>
      <w:tr w:rsidR="00860593" w:rsidRPr="000151AA" w14:paraId="2572AF74" w14:textId="77777777" w:rsidTr="008B31B9">
        <w:trPr>
          <w:trHeight w:hRule="exact" w:val="597"/>
        </w:trPr>
        <w:tc>
          <w:tcPr>
            <w:tcW w:w="5453"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8B31B9">
        <w:trPr>
          <w:trHeight w:hRule="exact" w:val="503"/>
        </w:trPr>
        <w:tc>
          <w:tcPr>
            <w:tcW w:w="5453" w:type="dxa"/>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8B31B9">
        <w:trPr>
          <w:trHeight w:hRule="exact" w:val="503"/>
        </w:trPr>
        <w:tc>
          <w:tcPr>
            <w:tcW w:w="5453" w:type="dxa"/>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8B31B9">
        <w:trPr>
          <w:trHeight w:hRule="exact" w:val="503"/>
        </w:trPr>
        <w:tc>
          <w:tcPr>
            <w:tcW w:w="5453" w:type="dxa"/>
            <w:vAlign w:val="center"/>
          </w:tcPr>
          <w:p w14:paraId="016B3E26" w14:textId="0CC44FDF"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proofErr w:type="gramStart"/>
            <w:r w:rsidRPr="00717B89">
              <w:rPr>
                <w:rFonts w:ascii="Calibri" w:eastAsia="Calibri" w:hAnsi="Calibri"/>
                <w:smallCaps/>
                <w:szCs w:val="22"/>
              </w:rPr>
              <w:t xml:space="preserve">- </w:t>
            </w:r>
            <w:r w:rsidR="00304214" w:rsidRPr="00717B89">
              <w:rPr>
                <w:rFonts w:ascii="Calibri" w:eastAsia="Calibri" w:hAnsi="Calibri"/>
                <w:i/>
                <w:iCs/>
                <w:szCs w:val="22"/>
              </w:rPr>
              <w:t xml:space="preserve"> Ricercatrice</w:t>
            </w:r>
            <w:proofErr w:type="gramEnd"/>
            <w:r w:rsidR="00304214" w:rsidRPr="00717B89">
              <w:rPr>
                <w:rFonts w:ascii="Calibri" w:eastAsia="Calibri" w:hAnsi="Calibri"/>
                <w:i/>
                <w:iCs/>
                <w:szCs w:val="22"/>
              </w:rPr>
              <w:t xml:space="preserve"> </w:t>
            </w:r>
            <w:r w:rsidR="008B31B9">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16110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5DB1331A" w:rsidR="00246A2A" w:rsidRPr="00387177" w:rsidRDefault="00246A2A" w:rsidP="002D2A71">
            <w:pPr>
              <w:widowControl w:val="0"/>
              <w:overflowPunct w:val="0"/>
              <w:autoSpaceDE w:val="0"/>
              <w:autoSpaceDN w:val="0"/>
              <w:adjustRightInd w:val="0"/>
              <w:spacing w:after="120" w:line="240" w:lineRule="auto"/>
              <w:textAlignment w:val="baseline"/>
              <w:rPr>
                <w:rFonts w:eastAsia="Times New Roman" w:cstheme="minorHAnsi"/>
                <w:color w:val="auto"/>
                <w:szCs w:val="22"/>
                <w:lang w:eastAsia="it-IT"/>
              </w:rPr>
            </w:pPr>
            <w:r w:rsidRPr="00387177">
              <w:rPr>
                <w:rFonts w:eastAsia="Times New Roman" w:cstheme="minorHAnsi"/>
                <w:color w:val="auto"/>
                <w:szCs w:val="22"/>
                <w:lang w:eastAsia="it-IT"/>
              </w:rPr>
              <w:t>L’Organo di revisione ha verificato che la proposta di delibera consiliare e lo schema di bilancio di previsione per gli esercizi 202</w:t>
            </w:r>
            <w:r w:rsidR="009F3773">
              <w:rPr>
                <w:rFonts w:eastAsia="Times New Roman" w:cstheme="minorHAnsi"/>
                <w:color w:val="auto"/>
                <w:szCs w:val="22"/>
                <w:lang w:eastAsia="it-IT"/>
              </w:rPr>
              <w:t>6</w:t>
            </w:r>
            <w:r w:rsidRPr="00387177">
              <w:rPr>
                <w:rFonts w:eastAsia="Times New Roman" w:cstheme="minorHAnsi"/>
                <w:color w:val="auto"/>
                <w:szCs w:val="22"/>
                <w:lang w:eastAsia="it-IT"/>
              </w:rPr>
              <w:t>-202</w:t>
            </w:r>
            <w:r w:rsidR="009F3773">
              <w:rPr>
                <w:rFonts w:eastAsia="Times New Roman" w:cstheme="minorHAnsi"/>
                <w:color w:val="auto"/>
                <w:szCs w:val="22"/>
                <w:lang w:eastAsia="it-IT"/>
              </w:rPr>
              <w:t>8</w:t>
            </w:r>
            <w:r w:rsidRPr="00387177">
              <w:rPr>
                <w:rFonts w:eastAsia="Times New Roman" w:cstheme="minorHAnsi"/>
                <w:color w:val="auto"/>
                <w:szCs w:val="22"/>
                <w:lang w:eastAsia="it-IT"/>
              </w:rPr>
              <w:t xml:space="preserve"> sono completi e corredati dagli allegati disposti dalla legge e necessari per il controllo:</w:t>
            </w:r>
          </w:p>
          <w:p w14:paraId="1C9FBBFD" w14:textId="77777777" w:rsidR="00246A2A" w:rsidRPr="00387177" w:rsidRDefault="00246A2A" w:rsidP="00246A2A">
            <w:pPr>
              <w:numPr>
                <w:ilvl w:val="0"/>
                <w:numId w:val="48"/>
              </w:numPr>
              <w:spacing w:after="120" w:line="240" w:lineRule="auto"/>
              <w:ind w:left="252" w:hanging="184"/>
              <w:rPr>
                <w:rFonts w:eastAsia="Times New Roman" w:cstheme="minorHAnsi"/>
                <w:color w:val="auto"/>
                <w:szCs w:val="22"/>
                <w:lang w:eastAsia="it-IT"/>
              </w:rPr>
            </w:pPr>
            <w:r w:rsidRPr="00387177">
              <w:rPr>
                <w:rFonts w:eastAsia="Times New Roman" w:cstheme="minorHAnsi"/>
                <w:color w:val="auto"/>
                <w:szCs w:val="22"/>
                <w:lang w:eastAsia="it-IT"/>
              </w:rPr>
              <w:t>Ai sensi dell’</w:t>
            </w:r>
            <w:hyperlink r:id="rId14" w:history="1">
              <w:r w:rsidRPr="00387177">
                <w:rPr>
                  <w:rFonts w:eastAsia="Times New Roman" w:cstheme="minorHAnsi"/>
                  <w:color w:val="auto"/>
                  <w:szCs w:val="22"/>
                  <w:lang w:eastAsia="it-IT"/>
                </w:rPr>
                <w:t>art.11, comma 3 del D.lgs.118/2011</w:t>
              </w:r>
            </w:hyperlink>
            <w:r w:rsidRPr="00387177">
              <w:rPr>
                <w:rFonts w:eastAsia="Times New Roman" w:cstheme="minorHAnsi"/>
                <w:color w:val="auto"/>
                <w:szCs w:val="22"/>
                <w:lang w:eastAsia="it-IT"/>
              </w:rPr>
              <w:t>:</w:t>
            </w:r>
          </w:p>
          <w:p w14:paraId="36FB9D19"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esplicativo del presunto risultato di amministrazione; </w:t>
            </w:r>
          </w:p>
          <w:p w14:paraId="6DC686CB"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del Fondo Crediti di Dubbia Esigibilità per ciascuno degli esercizi considerati nel bilancio di previsione; </w:t>
            </w:r>
          </w:p>
          <w:p w14:paraId="27D72EC1"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dimostrativo del rispetto dei vincoli di indebitamento; </w:t>
            </w:r>
          </w:p>
          <w:p w14:paraId="05295BE3"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delle spese previste per l’utilizzo di contributi e trasferimenti da parte di organismi comunitari e internazionali, per ciascuno degli anni considerati nel bilancio di previsione; </w:t>
            </w:r>
          </w:p>
          <w:p w14:paraId="1EB6C8AB"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delle spese previste per lo svolgimento delle funzioni delegate dalle regioni per ciascuno degli anni considerati nel bilancio di previsione;</w:t>
            </w:r>
          </w:p>
          <w:p w14:paraId="653CFA3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nota integrativa redatta secondo le modalità previste dal comma 5 dell’art.11 del D. lgs.118/2011;</w:t>
            </w:r>
          </w:p>
          <w:p w14:paraId="6F593094"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 xml:space="preserve">ai sensi dell’art.172 del D.lgs. 267/2000 e punto 9.3 del P.C. applicato allegato 4/1 al </w:t>
            </w:r>
            <w:hyperlink r:id="rId15"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 xml:space="preserve"> lettere g) ed h):</w:t>
            </w:r>
          </w:p>
          <w:p w14:paraId="4BA99AF8"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387177">
                <w:rPr>
                  <w:rFonts w:eastAsia="Times New Roman" w:cstheme="minorHAnsi"/>
                  <w:color w:val="auto"/>
                  <w:szCs w:val="22"/>
                  <w:lang w:eastAsia="it-IT"/>
                </w:rPr>
                <w:t>D.lgs. 23 giugno 2011, n. 118</w:t>
              </w:r>
            </w:hyperlink>
            <w:r w:rsidRPr="00387177">
              <w:rPr>
                <w:rFonts w:eastAsia="Times New Roman" w:cstheme="minorHAnsi"/>
                <w:color w:val="auto"/>
                <w:szCs w:val="22"/>
                <w:lang w:eastAsia="it-IT"/>
              </w:rPr>
              <w:t>, e successive modificazioni, relativi al penultimo esercizio antecedente quello cui il bilancio si riferisce. Tali documenti contabili sono allegati al bilancio di previsione qualora non integralmente pubblicati nei siti internet indicati nell’elenco;</w:t>
            </w:r>
          </w:p>
          <w:p w14:paraId="44AB0A03"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la deliberazione, da adottarsi annualmente prima dell’approvazione del bilancio, con la quale i comuni verificano la quantità e qualità di aree e fabbricati da </w:t>
            </w:r>
            <w:r w:rsidRPr="00387177">
              <w:rPr>
                <w:rFonts w:eastAsia="Times New Roman" w:cstheme="minorHAnsi"/>
                <w:color w:val="auto"/>
                <w:szCs w:val="22"/>
                <w:lang w:eastAsia="it-IT"/>
              </w:rPr>
              <w:lastRenderedPageBreak/>
              <w:t xml:space="preserve">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tabella relativa ai parametri di riscontro della situazione di deficitarietà strutturale, prevista dalle disposizioni vigenti in materia;</w:t>
            </w:r>
          </w:p>
          <w:p w14:paraId="1987B7B0"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equilibri di bilancio secondo lo schema allegato al </w:t>
            </w:r>
            <w:hyperlink r:id="rId17"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w:t>
            </w:r>
          </w:p>
          <w:p w14:paraId="069E969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«Piano degli indicatori e dei risultati attesi di bilancio» previsto dall’articolo 18-bis del decreto legislativo n. 118 del 2011;</w:t>
            </w:r>
          </w:p>
          <w:p w14:paraId="0D039C16"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necessari per l’espressione del parere:</w:t>
            </w:r>
          </w:p>
          <w:p w14:paraId="5E87B62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documento unico di programmazione (DUP) e la nota di aggiornamento dello stesso predisposti conformemente all’art.170 del D. Lgs.267/2000 dalla Giunta;</w:t>
            </w:r>
          </w:p>
          <w:p w14:paraId="17CEEC76" w14:textId="7294A267" w:rsidR="00246A2A" w:rsidRPr="00387177" w:rsidRDefault="00246A2A"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trike/>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 xml:space="preserve">se non contenuto nel </w:t>
            </w:r>
            <w:proofErr w:type="gramStart"/>
            <w:r w:rsidRPr="00387177">
              <w:rPr>
                <w:rFonts w:eastAsia="Times New Roman" w:cstheme="minorHAnsi"/>
                <w:i/>
                <w:iCs/>
                <w:color w:val="auto"/>
                <w:szCs w:val="22"/>
                <w:lang w:eastAsia="it-IT"/>
              </w:rPr>
              <w:t>DUP</w:t>
            </w:r>
            <w:r w:rsidRPr="00387177">
              <w:rPr>
                <w:rFonts w:eastAsia="Times New Roman" w:cstheme="minorHAnsi"/>
                <w:color w:val="auto"/>
                <w:szCs w:val="22"/>
                <w:lang w:eastAsia="it-IT"/>
              </w:rPr>
              <w:t>)</w:t>
            </w:r>
            <w:r w:rsidR="00242520" w:rsidRPr="00387177">
              <w:rPr>
                <w:rFonts w:eastAsia="Times New Roman" w:cstheme="minorHAnsi"/>
                <w:color w:val="auto"/>
                <w:szCs w:val="22"/>
                <w:lang w:eastAsia="it-IT"/>
              </w:rPr>
              <w:t xml:space="preserve">  il</w:t>
            </w:r>
            <w:proofErr w:type="gramEnd"/>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programma triennale ed elenco annuale dei lavori pubblici, di cui all’art. 37 del d.lgs. n. 36 del 31 marzo 2023, è redatto secondo lo schema tipo di cui all'allegato I.5 al nuovo Codice</w:t>
            </w:r>
            <w:r w:rsidRPr="00387177">
              <w:rPr>
                <w:rFonts w:eastAsia="Times New Roman" w:cstheme="minorHAnsi"/>
                <w:bCs/>
                <w:iCs/>
                <w:color w:val="auto"/>
                <w:szCs w:val="22"/>
                <w:lang w:eastAsia="it-IT"/>
              </w:rPr>
              <w:t>;</w:t>
            </w:r>
          </w:p>
          <w:p w14:paraId="779132D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il piano delle alienazioni e valorizzazioni immobiliari (art.58, comma 1 del D.L.112/2008);</w:t>
            </w:r>
          </w:p>
          <w:p w14:paraId="18595CCC" w14:textId="034E04B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il programma triennale degli acquisti di beni e servizi di cui all’art. 37 del d.lgs. n. 36 del 31 marzo 2023</w:t>
            </w:r>
            <w:r w:rsidRPr="00387177">
              <w:rPr>
                <w:rFonts w:eastAsia="Times New Roman" w:cstheme="minorHAnsi"/>
                <w:color w:val="auto"/>
                <w:szCs w:val="22"/>
                <w:lang w:eastAsia="it-IT"/>
              </w:rPr>
              <w:t>;</w:t>
            </w:r>
          </w:p>
          <w:p w14:paraId="5A0E5159" w14:textId="413FBC3A" w:rsidR="00874392" w:rsidRPr="00387177" w:rsidRDefault="007961F1" w:rsidP="001925C0">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delibera di Giunta di destinazione della parte vincolata dei proventi per sanzioni alle norme del codice della strada;</w:t>
            </w:r>
          </w:p>
          <w:p w14:paraId="40C8D6C2" w14:textId="388FDE0F" w:rsidR="007961F1" w:rsidRPr="00387177" w:rsidRDefault="001925C0" w:rsidP="007961F1">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1925C0">
              <w:rPr>
                <w:rFonts w:eastAsia="Times New Roman" w:cstheme="minorHAnsi"/>
                <w:color w:val="auto"/>
                <w:szCs w:val="22"/>
                <w:lang w:eastAsia="it-IT"/>
              </w:rPr>
              <w:t>la delibera del Consiglio di conferma o variazione delle aliquote e tariffe per i tributi locali</w:t>
            </w:r>
            <w:r w:rsidR="007961F1" w:rsidRPr="00387177">
              <w:rPr>
                <w:rFonts w:eastAsia="Times New Roman" w:cstheme="minorHAnsi"/>
                <w:color w:val="auto"/>
                <w:szCs w:val="22"/>
                <w:lang w:eastAsia="it-IT"/>
              </w:rPr>
              <w:t xml:space="preserve">; </w:t>
            </w:r>
          </w:p>
          <w:p w14:paraId="3749C91D"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programma delle collaborazioni autonome di cui all’art. 46 del D.L. n.112/2008;</w:t>
            </w:r>
          </w:p>
          <w:p w14:paraId="24B5308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il limite massimo delle spese per incarichi di collaborazione di cui all’art. 46 comma 3 del D.L. </w:t>
            </w:r>
            <w:r w:rsidRPr="00387177">
              <w:rPr>
                <w:rFonts w:eastAsia="Times New Roman" w:cstheme="minorHAnsi"/>
                <w:color w:val="auto"/>
                <w:szCs w:val="22"/>
                <w:lang w:eastAsia="it-IT"/>
              </w:rPr>
              <w:lastRenderedPageBreak/>
              <w:t xml:space="preserve">112/2008; </w:t>
            </w:r>
          </w:p>
          <w:p w14:paraId="56149B51"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limite massimo delle spese per personale a tempo determinato, con convenzione e con collaborazioni coordinate e continuative, di cui all’art. 9 comma 28 del D.L.78/2010;</w:t>
            </w:r>
          </w:p>
          <w:p w14:paraId="6F974332" w14:textId="66B1AAEE" w:rsidR="00246A2A" w:rsidRPr="00387177" w:rsidRDefault="007961F1"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analitico delle spese di personale previste in bilancio come individuate dal comma 557 dell’art.1 della Legge n. 296/2006 nonché la dimostrazione del rispetto del parametro soglia ex DM 17/03/2020</w:t>
            </w:r>
            <w:r w:rsidR="00387177" w:rsidRPr="00387177">
              <w:rPr>
                <w:rFonts w:eastAsia="Times New Roman" w:cstheme="minorHAnsi"/>
                <w:color w:val="auto"/>
                <w:szCs w:val="22"/>
                <w:lang w:eastAsia="it-IT"/>
              </w:rPr>
              <w:t>;</w:t>
            </w:r>
            <w:r w:rsidR="00246A2A" w:rsidRPr="00387177">
              <w:rPr>
                <w:rFonts w:eastAsia="Times New Roman" w:cstheme="minorHAnsi"/>
                <w:color w:val="auto"/>
                <w:szCs w:val="22"/>
                <w:lang w:eastAsia="it-IT"/>
              </w:rPr>
              <w:t xml:space="preserve"> </w:t>
            </w:r>
          </w:p>
          <w:p w14:paraId="18F9CE07"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spese finanziate con i proventi dei titoli abilitativi edilizi e relative sanzioni di cui all’art. 1 comma 460 della Legge n.232/2016;</w:t>
            </w:r>
          </w:p>
          <w:p w14:paraId="42619592"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entrate e spese non ricorrenti.</w:t>
            </w:r>
          </w:p>
          <w:p w14:paraId="71498C74" w14:textId="40635319"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documenti e prospetti previsti dallo statuto e dal regolamento di contabilità</w:t>
            </w:r>
          </w:p>
          <w:p w14:paraId="2D9E307C" w14:textId="0090891D" w:rsidR="00246A2A" w:rsidRPr="003E76FC" w:rsidRDefault="00246A2A" w:rsidP="007961F1">
            <w:pPr>
              <w:widowControl w:val="0"/>
              <w:tabs>
                <w:tab w:val="left" w:pos="426"/>
                <w:tab w:val="left" w:pos="494"/>
                <w:tab w:val="left" w:pos="709"/>
              </w:tabs>
              <w:overflowPunct w:val="0"/>
              <w:autoSpaceDE w:val="0"/>
              <w:autoSpaceDN w:val="0"/>
              <w:adjustRightInd w:val="0"/>
              <w:spacing w:after="60" w:line="240" w:lineRule="auto"/>
              <w:ind w:left="437"/>
              <w:textAlignment w:val="baseline"/>
              <w:rPr>
                <w:rFonts w:ascii="Arial" w:eastAsia="Times New Roman" w:hAnsi="Arial" w:cs="Arial"/>
                <w:lang w:eastAsia="it-IT"/>
              </w:rPr>
            </w:pP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16110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605C7" w14:textId="77777777" w:rsidR="00E157B1" w:rsidRDefault="00E157B1" w:rsidP="00281EF7">
      <w:pPr>
        <w:spacing w:after="0" w:line="240" w:lineRule="auto"/>
      </w:pPr>
      <w:r>
        <w:separator/>
      </w:r>
    </w:p>
  </w:endnote>
  <w:endnote w:type="continuationSeparator" w:id="0">
    <w:p w14:paraId="21A5AA0C" w14:textId="77777777" w:rsidR="00E157B1" w:rsidRDefault="00E157B1"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0EA70" w14:textId="77777777" w:rsidR="00E157B1" w:rsidRDefault="00E157B1" w:rsidP="00281EF7">
      <w:pPr>
        <w:spacing w:after="0" w:line="240" w:lineRule="auto"/>
      </w:pPr>
      <w:r>
        <w:separator/>
      </w:r>
    </w:p>
  </w:footnote>
  <w:footnote w:type="continuationSeparator" w:id="0">
    <w:p w14:paraId="0D7B6390" w14:textId="77777777" w:rsidR="00E157B1" w:rsidRDefault="00E157B1"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635C210B"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2C5842">
      <w:rPr>
        <w:b/>
        <w:bCs/>
        <w:color w:val="595959" w:themeColor="text1" w:themeTint="A6"/>
        <w:sz w:val="18"/>
        <w:szCs w:val="16"/>
      </w:rPr>
      <w:t>6</w:t>
    </w:r>
    <w:r>
      <w:rPr>
        <w:b/>
        <w:bCs/>
        <w:color w:val="595959" w:themeColor="text1" w:themeTint="A6"/>
        <w:sz w:val="18"/>
        <w:szCs w:val="16"/>
      </w:rPr>
      <w:t>-202</w:t>
    </w:r>
    <w:r w:rsidR="002C5842">
      <w:rPr>
        <w:b/>
        <w:bCs/>
        <w:color w:val="595959" w:themeColor="text1" w:themeTint="A6"/>
        <w:sz w:val="18"/>
        <w:szCs w:val="16"/>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26D6D"/>
    <w:rsid w:val="000333BE"/>
    <w:rsid w:val="0003493F"/>
    <w:rsid w:val="00036097"/>
    <w:rsid w:val="00057E67"/>
    <w:rsid w:val="000619FA"/>
    <w:rsid w:val="00067324"/>
    <w:rsid w:val="0007605A"/>
    <w:rsid w:val="00085431"/>
    <w:rsid w:val="00091F72"/>
    <w:rsid w:val="000E708D"/>
    <w:rsid w:val="000E7E0C"/>
    <w:rsid w:val="000F086C"/>
    <w:rsid w:val="000F142A"/>
    <w:rsid w:val="00112A54"/>
    <w:rsid w:val="0011753B"/>
    <w:rsid w:val="00130ED4"/>
    <w:rsid w:val="0013739D"/>
    <w:rsid w:val="00140F63"/>
    <w:rsid w:val="00141985"/>
    <w:rsid w:val="00144E3E"/>
    <w:rsid w:val="00154749"/>
    <w:rsid w:val="00161101"/>
    <w:rsid w:val="00180D69"/>
    <w:rsid w:val="001845DF"/>
    <w:rsid w:val="00184760"/>
    <w:rsid w:val="001925C0"/>
    <w:rsid w:val="001B0EAF"/>
    <w:rsid w:val="001F4AFE"/>
    <w:rsid w:val="001F5CAC"/>
    <w:rsid w:val="002025FC"/>
    <w:rsid w:val="002050D7"/>
    <w:rsid w:val="00205A0B"/>
    <w:rsid w:val="002215E2"/>
    <w:rsid w:val="00242520"/>
    <w:rsid w:val="00246A2A"/>
    <w:rsid w:val="002507E0"/>
    <w:rsid w:val="00281EF7"/>
    <w:rsid w:val="002A4ED2"/>
    <w:rsid w:val="002C474B"/>
    <w:rsid w:val="002C5842"/>
    <w:rsid w:val="002D0EB6"/>
    <w:rsid w:val="002D2657"/>
    <w:rsid w:val="002D58DE"/>
    <w:rsid w:val="002E4688"/>
    <w:rsid w:val="002F3AA3"/>
    <w:rsid w:val="002F3B15"/>
    <w:rsid w:val="002F4089"/>
    <w:rsid w:val="002F556C"/>
    <w:rsid w:val="002F712E"/>
    <w:rsid w:val="00302409"/>
    <w:rsid w:val="0030357B"/>
    <w:rsid w:val="00304214"/>
    <w:rsid w:val="0031073B"/>
    <w:rsid w:val="00312F8F"/>
    <w:rsid w:val="003229C5"/>
    <w:rsid w:val="00326BD6"/>
    <w:rsid w:val="00337256"/>
    <w:rsid w:val="003448F7"/>
    <w:rsid w:val="00346D28"/>
    <w:rsid w:val="00347D92"/>
    <w:rsid w:val="003500C2"/>
    <w:rsid w:val="00354BE3"/>
    <w:rsid w:val="00364775"/>
    <w:rsid w:val="0036703D"/>
    <w:rsid w:val="00374ED4"/>
    <w:rsid w:val="00387177"/>
    <w:rsid w:val="00396869"/>
    <w:rsid w:val="00396950"/>
    <w:rsid w:val="003A475B"/>
    <w:rsid w:val="003B47F3"/>
    <w:rsid w:val="003C775D"/>
    <w:rsid w:val="003D0D20"/>
    <w:rsid w:val="003D4455"/>
    <w:rsid w:val="003E69AF"/>
    <w:rsid w:val="003F28E9"/>
    <w:rsid w:val="003F2BB5"/>
    <w:rsid w:val="003F5429"/>
    <w:rsid w:val="003F656A"/>
    <w:rsid w:val="00411C7D"/>
    <w:rsid w:val="00417480"/>
    <w:rsid w:val="004218F1"/>
    <w:rsid w:val="0042220A"/>
    <w:rsid w:val="00435447"/>
    <w:rsid w:val="00437E6F"/>
    <w:rsid w:val="0045691F"/>
    <w:rsid w:val="0046012B"/>
    <w:rsid w:val="0047313F"/>
    <w:rsid w:val="00492A9B"/>
    <w:rsid w:val="00492BD1"/>
    <w:rsid w:val="00495484"/>
    <w:rsid w:val="004A02CD"/>
    <w:rsid w:val="004B0B44"/>
    <w:rsid w:val="004B241B"/>
    <w:rsid w:val="004C5239"/>
    <w:rsid w:val="004E0A05"/>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0F8D"/>
    <w:rsid w:val="005D5E36"/>
    <w:rsid w:val="005E57D2"/>
    <w:rsid w:val="00614204"/>
    <w:rsid w:val="006146D8"/>
    <w:rsid w:val="0062092D"/>
    <w:rsid w:val="00642459"/>
    <w:rsid w:val="00643767"/>
    <w:rsid w:val="00677368"/>
    <w:rsid w:val="006903EE"/>
    <w:rsid w:val="006A2472"/>
    <w:rsid w:val="006A2F30"/>
    <w:rsid w:val="006D3823"/>
    <w:rsid w:val="006F2E00"/>
    <w:rsid w:val="00701CA4"/>
    <w:rsid w:val="0074045B"/>
    <w:rsid w:val="00745529"/>
    <w:rsid w:val="00761384"/>
    <w:rsid w:val="00775C30"/>
    <w:rsid w:val="007961F1"/>
    <w:rsid w:val="007B73B6"/>
    <w:rsid w:val="007C7D94"/>
    <w:rsid w:val="007E7839"/>
    <w:rsid w:val="007F0FC6"/>
    <w:rsid w:val="007F3F12"/>
    <w:rsid w:val="00803C96"/>
    <w:rsid w:val="00832D7E"/>
    <w:rsid w:val="0085264D"/>
    <w:rsid w:val="008532B5"/>
    <w:rsid w:val="00856A66"/>
    <w:rsid w:val="008578F5"/>
    <w:rsid w:val="00860593"/>
    <w:rsid w:val="00864DBE"/>
    <w:rsid w:val="00867B04"/>
    <w:rsid w:val="00874392"/>
    <w:rsid w:val="00875C18"/>
    <w:rsid w:val="00886830"/>
    <w:rsid w:val="00893965"/>
    <w:rsid w:val="008A2664"/>
    <w:rsid w:val="008A2E4B"/>
    <w:rsid w:val="008B31B9"/>
    <w:rsid w:val="008B604E"/>
    <w:rsid w:val="008C6A4D"/>
    <w:rsid w:val="008D0617"/>
    <w:rsid w:val="008D3EE0"/>
    <w:rsid w:val="008D54E5"/>
    <w:rsid w:val="008D5BD6"/>
    <w:rsid w:val="008F5F15"/>
    <w:rsid w:val="0091495D"/>
    <w:rsid w:val="00917E35"/>
    <w:rsid w:val="00927158"/>
    <w:rsid w:val="009333EB"/>
    <w:rsid w:val="00944B2E"/>
    <w:rsid w:val="00950FD9"/>
    <w:rsid w:val="009731D1"/>
    <w:rsid w:val="00986212"/>
    <w:rsid w:val="00992BE0"/>
    <w:rsid w:val="009B3FDC"/>
    <w:rsid w:val="009D4EA8"/>
    <w:rsid w:val="009E4F49"/>
    <w:rsid w:val="009F3773"/>
    <w:rsid w:val="00A44FFB"/>
    <w:rsid w:val="00A568D7"/>
    <w:rsid w:val="00A84B00"/>
    <w:rsid w:val="00A866C7"/>
    <w:rsid w:val="00AA7328"/>
    <w:rsid w:val="00AB4558"/>
    <w:rsid w:val="00AB5522"/>
    <w:rsid w:val="00AC1A66"/>
    <w:rsid w:val="00AC6416"/>
    <w:rsid w:val="00AD3BE6"/>
    <w:rsid w:val="00AF78D2"/>
    <w:rsid w:val="00B254CC"/>
    <w:rsid w:val="00B64B05"/>
    <w:rsid w:val="00B658DA"/>
    <w:rsid w:val="00B853FC"/>
    <w:rsid w:val="00B93958"/>
    <w:rsid w:val="00B940B4"/>
    <w:rsid w:val="00B95911"/>
    <w:rsid w:val="00B96B24"/>
    <w:rsid w:val="00BB0106"/>
    <w:rsid w:val="00BC749A"/>
    <w:rsid w:val="00BE4104"/>
    <w:rsid w:val="00BE587A"/>
    <w:rsid w:val="00BF700C"/>
    <w:rsid w:val="00C31807"/>
    <w:rsid w:val="00C41127"/>
    <w:rsid w:val="00C5292A"/>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0188E"/>
    <w:rsid w:val="00E11276"/>
    <w:rsid w:val="00E157B1"/>
    <w:rsid w:val="00E3506C"/>
    <w:rsid w:val="00E50C5F"/>
    <w:rsid w:val="00E5575F"/>
    <w:rsid w:val="00E72DF2"/>
    <w:rsid w:val="00E7792A"/>
    <w:rsid w:val="00E83712"/>
    <w:rsid w:val="00E8545A"/>
    <w:rsid w:val="00EA194B"/>
    <w:rsid w:val="00EA4271"/>
    <w:rsid w:val="00EA572C"/>
    <w:rsid w:val="00EB1460"/>
    <w:rsid w:val="00EE3C78"/>
    <w:rsid w:val="00EF1A02"/>
    <w:rsid w:val="00F07201"/>
    <w:rsid w:val="00F10A2D"/>
    <w:rsid w:val="00F23D08"/>
    <w:rsid w:val="00F26C37"/>
    <w:rsid w:val="00F31605"/>
    <w:rsid w:val="00F467B7"/>
    <w:rsid w:val="00F60A6D"/>
    <w:rsid w:val="00F7090C"/>
    <w:rsid w:val="00F728D2"/>
    <w:rsid w:val="00F8628F"/>
    <w:rsid w:val="00F876B1"/>
    <w:rsid w:val="00FA2CBC"/>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387177"/>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387177"/>
    <w:rPr>
      <w:b/>
      <w:b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918</Words>
  <Characters>5235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17</cp:revision>
  <cp:lastPrinted>2023-04-19T15:40:00Z</cp:lastPrinted>
  <dcterms:created xsi:type="dcterms:W3CDTF">2024-11-05T06:35:00Z</dcterms:created>
  <dcterms:modified xsi:type="dcterms:W3CDTF">2026-01-20T12:51:00Z</dcterms:modified>
</cp:coreProperties>
</file>